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Outside"/>
      </w:tblPr>
      <w:tblGrid>
        <w:gridCol w:w="4032"/>
        <w:gridCol w:w="576"/>
        <w:gridCol w:w="576"/>
        <w:gridCol w:w="4176"/>
        <w:gridCol w:w="576"/>
        <w:gridCol w:w="576"/>
        <w:gridCol w:w="4176"/>
      </w:tblGrid>
      <w:tr w:rsidR="007A051A">
        <w:trPr>
          <w:trHeight w:hRule="exact" w:val="10800"/>
        </w:trPr>
        <w:tc>
          <w:tcPr>
            <w:tcW w:w="4032" w:type="dxa"/>
            <w:vAlign w:val="bottom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032"/>
            </w:tblGrid>
            <w:tr w:rsidR="00FB6ECB" w:rsidTr="006D2FE4">
              <w:trPr>
                <w:trHeight w:hRule="exact" w:val="7655"/>
              </w:trPr>
              <w:tc>
                <w:tcPr>
                  <w:tcW w:w="5000" w:type="pct"/>
                </w:tcPr>
                <w:p w:rsidR="00FB6ECB" w:rsidRDefault="00FB6ECB" w:rsidP="00FB6ECB">
                  <w:pPr>
                    <w:pStyle w:val="Heading2"/>
                    <w:spacing w:before="180"/>
                    <w:outlineLvl w:val="1"/>
                  </w:pPr>
                  <w:r>
                    <w:t xml:space="preserve">School reviews </w:t>
                  </w:r>
                </w:p>
                <w:p w:rsidR="00FB6ECB" w:rsidRDefault="00184373" w:rsidP="00FB6ECB">
                  <w:r>
                    <w:t>We also offer school reviews to help check the effectiveness of safeguarding in schools:</w:t>
                  </w:r>
                </w:p>
                <w:p w:rsidR="00184373" w:rsidRDefault="00184373" w:rsidP="00FB6ECB"/>
                <w:p w:rsidR="00184373" w:rsidRDefault="00184373" w:rsidP="0018437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safegua</w:t>
                  </w:r>
                  <w:r w:rsidR="00A0367D">
                    <w:t>rding documentation review – 3 hours - £250</w:t>
                  </w:r>
                  <w:r>
                    <w:t>*</w:t>
                  </w:r>
                </w:p>
                <w:p w:rsidR="00184373" w:rsidRDefault="00184373" w:rsidP="0018437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section 11 audit review – 3 hours - £250*</w:t>
                  </w:r>
                </w:p>
                <w:p w:rsidR="00184373" w:rsidRDefault="00184373" w:rsidP="0018437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safeguar</w:t>
                  </w:r>
                  <w:r w:rsidR="00A0367D">
                    <w:t>ding culture learning walk – 3</w:t>
                  </w:r>
                  <w:r>
                    <w:t xml:space="preserve"> hours - </w:t>
                  </w:r>
                  <w:r w:rsidR="00A0367D">
                    <w:t>£250</w:t>
                  </w:r>
                  <w:r>
                    <w:t>*</w:t>
                  </w:r>
                </w:p>
                <w:p w:rsidR="00184373" w:rsidRDefault="00184373" w:rsidP="00184373">
                  <w:pPr>
                    <w:pStyle w:val="ListParagraph"/>
                    <w:numPr>
                      <w:ilvl w:val="0"/>
                      <w:numId w:val="5"/>
                    </w:numPr>
                  </w:pPr>
                  <w:r>
                    <w:t>safeguarding review</w:t>
                  </w:r>
                  <w:r w:rsidR="00FB5844">
                    <w:t xml:space="preserve"> to check Ofsted readiness – two officers for one </w:t>
                  </w:r>
                  <w:r>
                    <w:t>f</w:t>
                  </w:r>
                  <w:r w:rsidR="007808B0">
                    <w:t xml:space="preserve">ull day </w:t>
                  </w:r>
                  <w:r w:rsidR="00A0367D">
                    <w:t>- £125</w:t>
                  </w:r>
                  <w:r w:rsidR="00FB5844">
                    <w:t>0</w:t>
                  </w:r>
                  <w:r>
                    <w:t>*</w:t>
                  </w:r>
                </w:p>
                <w:p w:rsidR="00184373" w:rsidRDefault="00184373" w:rsidP="00184373"/>
                <w:p w:rsidR="00184373" w:rsidRDefault="00184373" w:rsidP="00184373">
                  <w:r>
                    <w:t>All school review visits i</w:t>
                  </w:r>
                  <w:r w:rsidR="009F6394">
                    <w:t>nclude a written report summaris</w:t>
                  </w:r>
                  <w:r>
                    <w:t>ing strengths and weaknesses in practice.</w:t>
                  </w:r>
                </w:p>
                <w:p w:rsidR="00184373" w:rsidRDefault="00184373" w:rsidP="00184373"/>
                <w:p w:rsidR="00184373" w:rsidRDefault="00184373" w:rsidP="00184373">
                  <w:r>
                    <w:t>*</w:t>
                  </w:r>
                  <w:r>
                    <w:rPr>
                      <w:b/>
                      <w:bCs/>
                      <w:i/>
                      <w:iCs/>
                    </w:rPr>
                    <w:t xml:space="preserve">Please note: </w:t>
                  </w:r>
                  <w:r>
                    <w:rPr>
                      <w:i/>
                      <w:iCs/>
                    </w:rPr>
                    <w:t>a 20% supplement is added to these prices for any organisations other than schools and academies within Telford &amp; Wrekin, and for schools and other</w:t>
                  </w:r>
                  <w:r w:rsidRPr="009F6394">
                    <w:rPr>
                      <w:i/>
                      <w:iCs/>
                    </w:rPr>
                    <w:t xml:space="preserve"> organisations</w:t>
                  </w:r>
                  <w:r>
                    <w:rPr>
                      <w:i/>
                      <w:iCs/>
                    </w:rPr>
                    <w:t xml:space="preserve"> outside Telford &amp; Wrekin. </w:t>
                  </w:r>
                  <w:r>
                    <w:t xml:space="preserve"> </w:t>
                  </w:r>
                </w:p>
                <w:p w:rsidR="00184373" w:rsidRDefault="00184373" w:rsidP="00184373"/>
                <w:p w:rsidR="00184373" w:rsidRDefault="00184373" w:rsidP="00184373"/>
              </w:tc>
            </w:tr>
            <w:tr w:rsidR="00FB6ECB" w:rsidTr="00721A2D">
              <w:trPr>
                <w:trHeight w:hRule="exact" w:val="3122"/>
              </w:trPr>
              <w:tc>
                <w:tcPr>
                  <w:tcW w:w="5000" w:type="pct"/>
                </w:tcPr>
                <w:p w:rsidR="00FB6ECB" w:rsidRDefault="00721A2D" w:rsidP="00FB6ECB"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4C204481" wp14:editId="0CF0D4C5">
                        <wp:extent cx="2609850" cy="1752600"/>
                        <wp:effectExtent l="0" t="0" r="0" b="0"/>
                        <wp:docPr id="9" name="Picture 9" descr="Image result for magnifying glas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Image result for magnifying glas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9850" cy="1752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B6ECB" w:rsidTr="006D2FE4">
              <w:trPr>
                <w:trHeight w:hRule="exact" w:val="3168"/>
              </w:trPr>
              <w:tc>
                <w:tcPr>
                  <w:tcW w:w="5000" w:type="pct"/>
                </w:tcPr>
                <w:p w:rsidR="00FB6ECB" w:rsidRDefault="00FB6ECB" w:rsidP="00FB6ECB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  <w:vAlign w:val="bottom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21A2D" w:rsidTr="006D2FE4">
              <w:trPr>
                <w:trHeight w:hRule="exact" w:val="7655"/>
              </w:trPr>
              <w:tc>
                <w:tcPr>
                  <w:tcW w:w="5000" w:type="pct"/>
                </w:tcPr>
                <w:p w:rsidR="00721A2D" w:rsidRDefault="00721A2D" w:rsidP="00721A2D">
                  <w:pPr>
                    <w:pStyle w:val="Heading2"/>
                    <w:spacing w:before="180"/>
                    <w:outlineLvl w:val="1"/>
                  </w:pPr>
                  <w:r>
                    <w:t>Meet the team</w:t>
                  </w:r>
                </w:p>
                <w:p w:rsidR="00721A2D" w:rsidRPr="00B61E0B" w:rsidRDefault="00721A2D" w:rsidP="00721A2D">
                  <w:pPr>
                    <w:rPr>
                      <w:b/>
                    </w:rPr>
                  </w:pPr>
                  <w:r w:rsidRPr="00B61E0B">
                    <w:rPr>
                      <w:b/>
                    </w:rPr>
                    <w:t>Cathy Hobbs – Group Manager, Access &amp; Inclusion</w:t>
                  </w:r>
                </w:p>
                <w:p w:rsidR="00721A2D" w:rsidRDefault="00FB5844" w:rsidP="00721A2D">
                  <w:r w:rsidRPr="00FB5844">
                    <w:t>I am very committed to school improvement and see safeguarding as intrinsic to this. I have participated in a number of Serious Case reviews and have supported a number of sub groups from the Local Children’s Safeguarding Board. My experiences mean I bring a knowledge and understanding</w:t>
                  </w:r>
                  <w:r w:rsidR="009F6394">
                    <w:t xml:space="preserve"> of</w:t>
                  </w:r>
                  <w:r w:rsidRPr="00FB5844">
                    <w:t xml:space="preserve"> local processes</w:t>
                  </w:r>
                  <w:r w:rsidR="009F6394">
                    <w:t xml:space="preserve"> and</w:t>
                  </w:r>
                  <w:r w:rsidRPr="00FB5844">
                    <w:t xml:space="preserve"> work with pupils who are vulnerable and at risk of disengagement and exploitation.</w:t>
                  </w:r>
                </w:p>
                <w:p w:rsidR="00FB5844" w:rsidRDefault="00FB5844" w:rsidP="00721A2D">
                  <w:pPr>
                    <w:rPr>
                      <w:b/>
                    </w:rPr>
                  </w:pPr>
                </w:p>
                <w:p w:rsidR="00721A2D" w:rsidRPr="00B61E0B" w:rsidRDefault="00721A2D" w:rsidP="00721A2D">
                  <w:pPr>
                    <w:rPr>
                      <w:b/>
                    </w:rPr>
                  </w:pPr>
                  <w:r w:rsidRPr="00B61E0B">
                    <w:rPr>
                      <w:b/>
                    </w:rPr>
                    <w:t>Scott Thomas-Wh</w:t>
                  </w:r>
                  <w:r w:rsidR="00DD7CC5">
                    <w:rPr>
                      <w:b/>
                    </w:rPr>
                    <w:t>ite – Education Safeguarding Co</w:t>
                  </w:r>
                  <w:r w:rsidRPr="00B61E0B">
                    <w:rPr>
                      <w:b/>
                    </w:rPr>
                    <w:t xml:space="preserve">ordinator </w:t>
                  </w:r>
                </w:p>
                <w:p w:rsidR="00492084" w:rsidRDefault="00492084" w:rsidP="00721A2D">
                  <w:r>
                    <w:t xml:space="preserve">I am passionate about keeping children safe in education. I </w:t>
                  </w:r>
                  <w:r w:rsidR="00FB5844">
                    <w:t>have</w:t>
                  </w:r>
                  <w:r>
                    <w:t xml:space="preserve"> </w:t>
                  </w:r>
                  <w:r w:rsidR="009F6394">
                    <w:t xml:space="preserve">experience of, and </w:t>
                  </w:r>
                  <w:r>
                    <w:t>an up-to-date knowledge of</w:t>
                  </w:r>
                  <w:r w:rsidR="009F6394">
                    <w:t>,</w:t>
                  </w:r>
                  <w:r>
                    <w:t xml:space="preserve"> inspection </w:t>
                  </w:r>
                  <w:r w:rsidR="00DA5B97">
                    <w:t>frameworks</w:t>
                  </w:r>
                  <w:r>
                    <w:t xml:space="preserve"> and how to promote a str</w:t>
                  </w:r>
                  <w:r w:rsidR="007808B0">
                    <w:t>ong safeguarding culture in education settings</w:t>
                  </w:r>
                  <w:r>
                    <w:t xml:space="preserve">. My experience also includes working within early help services, </w:t>
                  </w:r>
                  <w:r w:rsidR="00B61E0B">
                    <w:t>therapeutic play services and as an early year’s adviser. I am an experienced trainer</w:t>
                  </w:r>
                  <w:r w:rsidR="009F6394">
                    <w:t>,</w:t>
                  </w:r>
                  <w:r w:rsidR="00B61E0B">
                    <w:t xml:space="preserve"> </w:t>
                  </w:r>
                  <w:r w:rsidR="007808B0">
                    <w:t xml:space="preserve">having delivered </w:t>
                  </w:r>
                  <w:r w:rsidR="00B61E0B">
                    <w:t xml:space="preserve">a range of safeguarding courses. </w:t>
                  </w:r>
                </w:p>
                <w:p w:rsidR="00721A2D" w:rsidRDefault="00721A2D" w:rsidP="00721A2D"/>
                <w:p w:rsidR="00721A2D" w:rsidRDefault="00721A2D" w:rsidP="001C12AA">
                  <w:bookmarkStart w:id="0" w:name="_GoBack"/>
                  <w:bookmarkEnd w:id="0"/>
                </w:p>
              </w:tc>
            </w:tr>
            <w:tr w:rsidR="00721A2D" w:rsidTr="006D2FE4">
              <w:trPr>
                <w:trHeight w:hRule="exact" w:val="288"/>
              </w:trPr>
              <w:tc>
                <w:tcPr>
                  <w:tcW w:w="5000" w:type="pct"/>
                </w:tcPr>
                <w:p w:rsidR="00721A2D" w:rsidRDefault="00721A2D" w:rsidP="00721A2D"/>
              </w:tc>
            </w:tr>
            <w:tr w:rsidR="00721A2D" w:rsidTr="006D2FE4">
              <w:trPr>
                <w:trHeight w:hRule="exact" w:val="3168"/>
              </w:trPr>
              <w:tc>
                <w:tcPr>
                  <w:tcW w:w="5000" w:type="pct"/>
                </w:tcPr>
                <w:p w:rsidR="00721A2D" w:rsidRDefault="00721A2D" w:rsidP="00721A2D">
                  <w:pPr>
                    <w:spacing w:after="200" w:line="264" w:lineRule="auto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524125" cy="1809750"/>
                        <wp:effectExtent l="0" t="0" r="9525" b="0"/>
                        <wp:docPr id="15" name="Picture 15" descr="Image result for tea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Image result for tea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24125" cy="18097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4896" w:type="pct"/>
              <w:tblLayout w:type="fixed"/>
              <w:tblLook w:val="04A0" w:firstRow="1" w:lastRow="0" w:firstColumn="1" w:lastColumn="0" w:noHBand="0" w:noVBand="1"/>
            </w:tblPr>
            <w:tblGrid>
              <w:gridCol w:w="4089"/>
            </w:tblGrid>
            <w:tr w:rsidR="007A051A" w:rsidTr="00082881">
              <w:trPr>
                <w:trHeight w:hRule="exact" w:val="3600"/>
              </w:trPr>
              <w:tc>
                <w:tcPr>
                  <w:tcW w:w="5000" w:type="pct"/>
                  <w:tcBorders>
                    <w:bottom w:val="single" w:sz="12" w:space="0" w:color="F24F4F" w:themeColor="accent1"/>
                  </w:tcBorders>
                  <w:vAlign w:val="bottom"/>
                </w:tcPr>
                <w:p w:rsidR="007A051A" w:rsidRPr="00082881" w:rsidRDefault="00082881" w:rsidP="00082881">
                  <w:pPr>
                    <w:pStyle w:val="Title"/>
                    <w:jc w:val="center"/>
                    <w:rPr>
                      <w:sz w:val="56"/>
                      <w:szCs w:val="56"/>
                    </w:rPr>
                  </w:pPr>
                  <w:r w:rsidRPr="00082881">
                    <w:rPr>
                      <w:sz w:val="56"/>
                      <w:szCs w:val="56"/>
                    </w:rPr>
                    <w:t>School Performance and Development Team</w:t>
                  </w:r>
                </w:p>
              </w:tc>
            </w:tr>
            <w:tr w:rsidR="007A051A" w:rsidTr="00082881">
              <w:trPr>
                <w:trHeight w:hRule="exact" w:val="3600"/>
              </w:trPr>
              <w:tc>
                <w:tcPr>
                  <w:tcW w:w="5000" w:type="pct"/>
                  <w:tcBorders>
                    <w:top w:val="single" w:sz="12" w:space="0" w:color="F24F4F" w:themeColor="accent1"/>
                  </w:tcBorders>
                </w:tcPr>
                <w:p w:rsidR="00082881" w:rsidRPr="00E32B20" w:rsidRDefault="00082881" w:rsidP="00082881">
                  <w:pPr>
                    <w:pStyle w:val="Subtitle"/>
                    <w:jc w:val="center"/>
                    <w:rPr>
                      <w:sz w:val="34"/>
                      <w:szCs w:val="34"/>
                    </w:rPr>
                  </w:pPr>
                  <w:r w:rsidRPr="00E32B20">
                    <w:rPr>
                      <w:sz w:val="34"/>
                      <w:szCs w:val="34"/>
                    </w:rPr>
                    <w:t>Education Safeguarding Service</w:t>
                  </w:r>
                </w:p>
                <w:p w:rsidR="00EB1E62" w:rsidRPr="00E32B20" w:rsidRDefault="00EB1E62" w:rsidP="00EB1E62">
                  <w:pPr>
                    <w:rPr>
                      <w:sz w:val="34"/>
                      <w:szCs w:val="34"/>
                    </w:rPr>
                  </w:pPr>
                </w:p>
                <w:p w:rsidR="00082881" w:rsidRPr="00E32B20" w:rsidRDefault="009F6394" w:rsidP="00082881">
                  <w:pPr>
                    <w:pStyle w:val="Subtitle"/>
                    <w:jc w:val="center"/>
                    <w:rPr>
                      <w:sz w:val="34"/>
                      <w:szCs w:val="34"/>
                    </w:rPr>
                  </w:pPr>
                  <w:r w:rsidRPr="00E32B20">
                    <w:rPr>
                      <w:sz w:val="34"/>
                      <w:szCs w:val="34"/>
                    </w:rPr>
                    <w:t>Access &amp; Inclusion</w:t>
                  </w:r>
                </w:p>
                <w:p w:rsidR="00EB1E62" w:rsidRPr="00E32B20" w:rsidRDefault="00EB1E62" w:rsidP="00EB1E62">
                  <w:pPr>
                    <w:rPr>
                      <w:sz w:val="34"/>
                      <w:szCs w:val="34"/>
                    </w:rPr>
                  </w:pPr>
                </w:p>
                <w:p w:rsidR="00082881" w:rsidRPr="00E32B20" w:rsidRDefault="00082881" w:rsidP="00082881">
                  <w:pPr>
                    <w:pStyle w:val="Subtitle"/>
                    <w:jc w:val="center"/>
                    <w:rPr>
                      <w:sz w:val="34"/>
                      <w:szCs w:val="34"/>
                    </w:rPr>
                  </w:pPr>
                  <w:r w:rsidRPr="00E32B20">
                    <w:rPr>
                      <w:sz w:val="34"/>
                      <w:szCs w:val="34"/>
                    </w:rPr>
                    <w:t xml:space="preserve">Education and Corporate Parenting </w:t>
                  </w:r>
                </w:p>
                <w:p w:rsidR="00082881" w:rsidRPr="00082881" w:rsidRDefault="00082881" w:rsidP="00EB1E62">
                  <w:pPr>
                    <w:jc w:val="center"/>
                  </w:pPr>
                </w:p>
              </w:tc>
            </w:tr>
            <w:tr w:rsidR="007A051A" w:rsidTr="00082881">
              <w:trPr>
                <w:trHeight w:hRule="exact" w:val="3456"/>
              </w:trPr>
              <w:tc>
                <w:tcPr>
                  <w:tcW w:w="5000" w:type="pct"/>
                  <w:vAlign w:val="bottom"/>
                </w:tcPr>
                <w:p w:rsidR="007A051A" w:rsidRDefault="00082881">
                  <w:pPr>
                    <w:spacing w:after="160" w:line="264" w:lineRule="auto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00325" cy="1365171"/>
                        <wp:effectExtent l="0" t="0" r="0" b="6985"/>
                        <wp:docPr id="1" name="Picture 1" descr="Image result for telford and wrekin counci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Image result for telford and wrekin counci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0516" cy="138102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51A" w:rsidTr="00082881">
              <w:trPr>
                <w:trHeight w:hRule="exact" w:val="144"/>
              </w:trPr>
              <w:tc>
                <w:tcPr>
                  <w:tcW w:w="5000" w:type="pct"/>
                  <w:shd w:val="clear" w:color="auto" w:fill="F24F4F" w:themeFill="accent1"/>
                </w:tcPr>
                <w:p w:rsidR="007A051A" w:rsidRDefault="007A051A">
                  <w:pPr>
                    <w:spacing w:after="200" w:line="264" w:lineRule="auto"/>
                  </w:pP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rochure Layout - Inside"/>
      </w:tblPr>
      <w:tblGrid>
        <w:gridCol w:w="4176"/>
        <w:gridCol w:w="576"/>
        <w:gridCol w:w="576"/>
        <w:gridCol w:w="4176"/>
        <w:gridCol w:w="576"/>
        <w:gridCol w:w="576"/>
        <w:gridCol w:w="4032"/>
      </w:tblGrid>
      <w:tr w:rsidR="007A051A">
        <w:trPr>
          <w:trHeight w:hRule="exact" w:val="10800"/>
        </w:trPr>
        <w:tc>
          <w:tcPr>
            <w:tcW w:w="4176" w:type="dxa"/>
          </w:tcPr>
          <w:tbl>
            <w:tblPr>
              <w:tblStyle w:val="TableLayout"/>
              <w:tblW w:w="4115" w:type="dxa"/>
              <w:tblLayout w:type="fixed"/>
              <w:tblLook w:val="04A0" w:firstRow="1" w:lastRow="0" w:firstColumn="1" w:lastColumn="0" w:noHBand="0" w:noVBand="1"/>
            </w:tblPr>
            <w:tblGrid>
              <w:gridCol w:w="4115"/>
            </w:tblGrid>
            <w:tr w:rsidR="007A051A" w:rsidTr="00EB1E62">
              <w:trPr>
                <w:trHeight w:hRule="exact" w:val="1433"/>
              </w:trPr>
              <w:tc>
                <w:tcPr>
                  <w:tcW w:w="4115" w:type="dxa"/>
                </w:tcPr>
                <w:p w:rsidR="007A051A" w:rsidRDefault="00082881">
                  <w:pPr>
                    <w:spacing w:after="200" w:line="264" w:lineRule="auto"/>
                  </w:pPr>
                  <w:r>
                    <w:rPr>
                      <w:noProof/>
                      <w:lang w:eastAsia="en-GB"/>
                    </w:rPr>
                    <w:lastRenderedPageBreak/>
                    <w:drawing>
                      <wp:inline distT="0" distB="0" distL="0" distR="0">
                        <wp:extent cx="2628900" cy="952500"/>
                        <wp:effectExtent l="0" t="0" r="0" b="0"/>
                        <wp:docPr id="5" name="Picture 5" descr="Image result for safeguard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safeguard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289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A051A" w:rsidTr="00EB1E62">
              <w:trPr>
                <w:trHeight w:hRule="exact" w:val="8407"/>
              </w:trPr>
              <w:tc>
                <w:tcPr>
                  <w:tcW w:w="4115" w:type="dxa"/>
                </w:tcPr>
                <w:p w:rsidR="007A051A" w:rsidRDefault="00082881">
                  <w:pPr>
                    <w:pStyle w:val="Heading2"/>
                    <w:outlineLvl w:val="1"/>
                  </w:pPr>
                  <w:r>
                    <w:t>Support</w:t>
                  </w:r>
                </w:p>
                <w:p w:rsidR="00EB1E62" w:rsidRDefault="00402BA8">
                  <w:pPr>
                    <w:spacing w:after="200" w:line="264" w:lineRule="auto"/>
                  </w:pPr>
                  <w:r>
                    <w:t>We offer traded</w:t>
                  </w:r>
                  <w:r w:rsidR="00082881">
                    <w:t xml:space="preserve"> support covering all aspects of safeguarding </w:t>
                  </w:r>
                  <w:r w:rsidR="00CF3869">
                    <w:t>delivered by our</w:t>
                  </w:r>
                  <w:r w:rsidR="00082881">
                    <w:t xml:space="preserve"> Education Safeguarding</w:t>
                  </w:r>
                  <w:r w:rsidR="00DA5B97">
                    <w:t xml:space="preserve"> Co</w:t>
                  </w:r>
                  <w:r w:rsidR="00EB1E62">
                    <w:t xml:space="preserve">ordinator and Group Manager. </w:t>
                  </w:r>
                </w:p>
                <w:p w:rsidR="00EB1E62" w:rsidRDefault="00E32B20">
                  <w:pPr>
                    <w:spacing w:after="200" w:line="264" w:lineRule="auto"/>
                  </w:pPr>
                  <w:r>
                    <w:t>*</w:t>
                  </w:r>
                  <w:r w:rsidR="00A0367D">
                    <w:t>£250</w:t>
                  </w:r>
                  <w:r w:rsidR="00402BA8">
                    <w:t xml:space="preserve"> per session, </w:t>
                  </w:r>
                  <w:r w:rsidR="00CF3869">
                    <w:t>up to</w:t>
                  </w:r>
                  <w:r w:rsidR="00A0367D">
                    <w:t xml:space="preserve"> 3 </w:t>
                  </w:r>
                  <w:r w:rsidR="00402BA8">
                    <w:t>hour</w:t>
                  </w:r>
                  <w:r w:rsidR="00CF3869">
                    <w:t>s</w:t>
                  </w:r>
                  <w:r w:rsidR="00402BA8">
                    <w:t>.</w:t>
                  </w:r>
                </w:p>
                <w:p w:rsidR="007A051A" w:rsidRDefault="00EB1E62">
                  <w:pPr>
                    <w:pStyle w:val="Heading3"/>
                    <w:outlineLvl w:val="2"/>
                  </w:pPr>
                  <w:r>
                    <w:t>What’s available?</w:t>
                  </w:r>
                </w:p>
                <w:p w:rsidR="007A051A" w:rsidRDefault="00CF3869">
                  <w:pPr>
                    <w:spacing w:after="200" w:line="264" w:lineRule="auto"/>
                  </w:pPr>
                  <w:r>
                    <w:t>We can offer</w:t>
                  </w:r>
                  <w:r w:rsidR="00EB1E62">
                    <w:t xml:space="preserve"> support tailored to the needs of individual schools that includes;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support for governors to understand and fulfil their statutory safeguarding responsibilities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check</w:t>
                  </w:r>
                  <w:r w:rsidRPr="00DA5B97">
                    <w:t xml:space="preserve"> rigo</w:t>
                  </w:r>
                  <w:r w:rsidR="00DA5B97" w:rsidRPr="00DA5B97">
                    <w:t>u</w:t>
                  </w:r>
                  <w:r w:rsidRPr="00DA5B97">
                    <w:t>r</w:t>
                  </w:r>
                  <w:r>
                    <w:t xml:space="preserve"> of child protection policies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provide advice on peer-on-peer abuse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discuss with children how they feel safe 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check safer recruitment documentation and procedures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check staff’s knowledge of safeguarding procedures</w:t>
                  </w:r>
                  <w:r w:rsidR="00BF06E9">
                    <w:t xml:space="preserve"> and wider safeguarding issues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support Designated Safeguarding Leads</w:t>
                  </w:r>
                </w:p>
                <w:p w:rsidR="00EB1E62" w:rsidRDefault="00EB1E62" w:rsidP="00EB1E62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>check support for vulnerable learners, such as those who go missing</w:t>
                  </w:r>
                </w:p>
                <w:p w:rsidR="00BF06E9" w:rsidRDefault="00BF06E9" w:rsidP="00402BA8">
                  <w:pPr>
                    <w:pStyle w:val="ListParagraph"/>
                    <w:numPr>
                      <w:ilvl w:val="0"/>
                      <w:numId w:val="2"/>
                    </w:numPr>
                  </w:pPr>
                  <w:r>
                    <w:t xml:space="preserve">safeguarding culture learning walks. </w:t>
                  </w:r>
                </w:p>
                <w:p w:rsidR="00BF06E9" w:rsidRDefault="00BF06E9" w:rsidP="00BF06E9"/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4176" w:type="dxa"/>
          </w:tcPr>
          <w:tbl>
            <w:tblPr>
              <w:tblStyle w:val="TableLayout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176"/>
            </w:tblGrid>
            <w:tr w:rsidR="007A051A" w:rsidTr="00573C1D">
              <w:trPr>
                <w:trHeight w:hRule="exact" w:val="7655"/>
              </w:trPr>
              <w:tc>
                <w:tcPr>
                  <w:tcW w:w="5000" w:type="pct"/>
                </w:tcPr>
                <w:p w:rsidR="007A051A" w:rsidRDefault="00BF06E9">
                  <w:pPr>
                    <w:pStyle w:val="Heading2"/>
                    <w:spacing w:before="180"/>
                    <w:outlineLvl w:val="1"/>
                  </w:pPr>
                  <w:r>
                    <w:t>CPD</w:t>
                  </w:r>
                </w:p>
                <w:p w:rsidR="007A051A" w:rsidRDefault="00D91B28">
                  <w:pPr>
                    <w:spacing w:after="200" w:line="264" w:lineRule="auto"/>
                  </w:pPr>
                  <w:r>
                    <w:t xml:space="preserve">We </w:t>
                  </w:r>
                  <w:r w:rsidR="00BF06E9">
                    <w:t>offer a range of training</w:t>
                  </w:r>
                  <w:r w:rsidR="00402BA8">
                    <w:t xml:space="preserve"> for</w:t>
                  </w:r>
                  <w:r w:rsidR="00BF06E9">
                    <w:t xml:space="preserve"> Design</w:t>
                  </w:r>
                  <w:r w:rsidR="00DA5B97">
                    <w:t>ated Safeguarding Leads (DSL</w:t>
                  </w:r>
                  <w:r w:rsidR="00CF3869">
                    <w:t>’s</w:t>
                  </w:r>
                  <w:r w:rsidR="00DA5B97">
                    <w:t>), school g</w:t>
                  </w:r>
                  <w:r w:rsidR="00BF06E9">
                    <w:t xml:space="preserve">overnors and school staff, that enables </w:t>
                  </w:r>
                  <w:r w:rsidR="00CF3869">
                    <w:t>them</w:t>
                  </w:r>
                  <w:r w:rsidR="00BF06E9">
                    <w:t xml:space="preserve"> to meet the requirements of ‘Keeping Children Safe in Education’ and the expectation of the Telford &amp; Wrekin </w:t>
                  </w:r>
                  <w:r w:rsidR="00CF3869">
                    <w:t>Local</w:t>
                  </w:r>
                  <w:r w:rsidR="00BF06E9">
                    <w:t xml:space="preserve"> Safeguarding </w:t>
                  </w:r>
                  <w:r w:rsidR="00CF3869">
                    <w:t>Partnership arrangements</w:t>
                  </w:r>
                  <w:r w:rsidR="00BF06E9">
                    <w:t>, including;</w:t>
                  </w:r>
                </w:p>
                <w:p w:rsidR="00BF06E9" w:rsidRDefault="00BF06E9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 xml:space="preserve">two-day </w:t>
                  </w:r>
                  <w:r w:rsidR="00E32B20">
                    <w:t xml:space="preserve">newly appointed </w:t>
                  </w:r>
                  <w:r>
                    <w:t>DSL Training</w:t>
                  </w:r>
                  <w:r w:rsidR="00A0367D">
                    <w:t xml:space="preserve"> £300</w:t>
                  </w:r>
                  <w:r w:rsidR="00573C1D">
                    <w:t xml:space="preserve"> per delegate*</w:t>
                  </w:r>
                </w:p>
                <w:p w:rsidR="00BF06E9" w:rsidRDefault="00BF06E9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DSL and governor Termly Update</w:t>
                  </w:r>
                  <w:r w:rsidR="00A0367D">
                    <w:t xml:space="preserve"> £90</w:t>
                  </w:r>
                  <w:r w:rsidR="00573C1D">
                    <w:t xml:space="preserve"> per delegate*</w:t>
                  </w:r>
                </w:p>
                <w:p w:rsidR="00573C1D" w:rsidRDefault="00A0367D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DSL refresher training £150</w:t>
                  </w:r>
                  <w:r w:rsidR="00573C1D">
                    <w:t xml:space="preserve"> per delegate*</w:t>
                  </w:r>
                </w:p>
                <w:p w:rsidR="00BF06E9" w:rsidRDefault="00BF06E9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raising awareness child protection training</w:t>
                  </w:r>
                  <w:r w:rsidR="00A0367D">
                    <w:t xml:space="preserve"> £90</w:t>
                  </w:r>
                  <w:r w:rsidR="00573C1D">
                    <w:t xml:space="preserve"> per delegate*</w:t>
                  </w:r>
                </w:p>
                <w:p w:rsidR="00BF06E9" w:rsidRDefault="00BF06E9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‘whole-school’ bespoke basic awareness training session</w:t>
                  </w:r>
                  <w:r w:rsidR="00573C1D">
                    <w:t xml:space="preserve"> £250 per session*</w:t>
                  </w:r>
                </w:p>
                <w:p w:rsidR="00BF06E9" w:rsidRDefault="00BF06E9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prevent training</w:t>
                  </w:r>
                  <w:r w:rsidR="00573C1D">
                    <w:t xml:space="preserve"> £250 per session*</w:t>
                  </w:r>
                  <w:r>
                    <w:t xml:space="preserve"> </w:t>
                  </w:r>
                </w:p>
                <w:p w:rsidR="00573C1D" w:rsidRDefault="00BF06E9" w:rsidP="00BF06E9">
                  <w:pPr>
                    <w:pStyle w:val="ListParagraph"/>
                    <w:numPr>
                      <w:ilvl w:val="0"/>
                      <w:numId w:val="3"/>
                    </w:numPr>
                  </w:pPr>
                  <w:r>
                    <w:t>safeguarding governor training</w:t>
                  </w:r>
                  <w:r w:rsidR="00A0367D">
                    <w:t xml:space="preserve"> £100</w:t>
                  </w:r>
                  <w:r w:rsidR="00573C1D">
                    <w:t xml:space="preserve"> per delegate*</w:t>
                  </w:r>
                  <w:r>
                    <w:t>.</w:t>
                  </w:r>
                </w:p>
                <w:p w:rsidR="00573C1D" w:rsidRDefault="00573C1D" w:rsidP="00573C1D"/>
                <w:p w:rsidR="00BF06E9" w:rsidRDefault="00573C1D" w:rsidP="00573C1D">
                  <w:r>
                    <w:t>*</w:t>
                  </w:r>
                  <w:r>
                    <w:rPr>
                      <w:b/>
                      <w:bCs/>
                      <w:i/>
                      <w:iCs/>
                    </w:rPr>
                    <w:t xml:space="preserve">Please note: </w:t>
                  </w:r>
                  <w:r>
                    <w:rPr>
                      <w:i/>
                      <w:iCs/>
                    </w:rPr>
                    <w:t>a 20% supplement is added to these prices for any organisations other than</w:t>
                  </w:r>
                  <w:r w:rsidR="00E32B20">
                    <w:rPr>
                      <w:i/>
                      <w:iCs/>
                    </w:rPr>
                    <w:t xml:space="preserve"> maintained</w:t>
                  </w:r>
                  <w:r>
                    <w:rPr>
                      <w:i/>
                      <w:iCs/>
                    </w:rPr>
                    <w:t xml:space="preserve"> schools and academies within Telford &amp; Wrekin, and for schools and other organisations outside Telford &amp; Wrekin. </w:t>
                  </w:r>
                  <w:r w:rsidR="00BF06E9">
                    <w:t xml:space="preserve"> </w:t>
                  </w:r>
                </w:p>
                <w:p w:rsidR="00233231" w:rsidRDefault="00233231" w:rsidP="00573C1D">
                  <w:pPr>
                    <w:pStyle w:val="Heading3"/>
                    <w:outlineLvl w:val="2"/>
                  </w:pPr>
                </w:p>
              </w:tc>
            </w:tr>
            <w:tr w:rsidR="007A051A">
              <w:trPr>
                <w:trHeight w:hRule="exact" w:val="288"/>
              </w:trPr>
              <w:tc>
                <w:tcPr>
                  <w:tcW w:w="5000" w:type="pct"/>
                </w:tcPr>
                <w:p w:rsidR="007A051A" w:rsidRDefault="007A051A"/>
              </w:tc>
            </w:tr>
            <w:tr w:rsidR="007A051A">
              <w:trPr>
                <w:trHeight w:hRule="exact" w:val="3168"/>
              </w:trPr>
              <w:tc>
                <w:tcPr>
                  <w:tcW w:w="5000" w:type="pct"/>
                </w:tcPr>
                <w:p w:rsidR="007A051A" w:rsidRDefault="00BF06E9">
                  <w:pPr>
                    <w:spacing w:after="200" w:line="264" w:lineRule="auto"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>
                        <wp:extent cx="2647950" cy="1541486"/>
                        <wp:effectExtent l="0" t="0" r="0" b="1905"/>
                        <wp:docPr id="6" name="Picture 6" descr="Image result for safeguarding traini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Image result for safeguarding trai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98865" cy="157112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Default="007A051A">
            <w:pPr>
              <w:spacing w:after="160" w:line="259" w:lineRule="auto"/>
            </w:pPr>
          </w:p>
        </w:tc>
        <w:tc>
          <w:tcPr>
            <w:tcW w:w="576" w:type="dxa"/>
          </w:tcPr>
          <w:p w:rsidR="007A051A" w:rsidRPr="00DA5B97" w:rsidRDefault="007A051A">
            <w:pPr>
              <w:spacing w:after="160" w:line="259" w:lineRule="auto"/>
            </w:pPr>
          </w:p>
        </w:tc>
        <w:tc>
          <w:tcPr>
            <w:tcW w:w="4032" w:type="dxa"/>
          </w:tcPr>
          <w:tbl>
            <w:tblPr>
              <w:tblStyle w:val="TableLayout"/>
              <w:tblW w:w="4943" w:type="pct"/>
              <w:tblLayout w:type="fixed"/>
              <w:tblLook w:val="04A0" w:firstRow="1" w:lastRow="0" w:firstColumn="1" w:lastColumn="0" w:noHBand="0" w:noVBand="1"/>
            </w:tblPr>
            <w:tblGrid>
              <w:gridCol w:w="3986"/>
            </w:tblGrid>
            <w:tr w:rsidR="007A051A" w:rsidRPr="00DA5B97" w:rsidTr="00402BA8">
              <w:trPr>
                <w:trHeight w:hRule="exact" w:val="7470"/>
              </w:trPr>
              <w:tc>
                <w:tcPr>
                  <w:tcW w:w="5000" w:type="pct"/>
                </w:tcPr>
                <w:p w:rsidR="007A051A" w:rsidRPr="00DA5B97" w:rsidRDefault="00573C1D">
                  <w:pPr>
                    <w:pStyle w:val="Heading2"/>
                    <w:outlineLvl w:val="1"/>
                    <w:rPr>
                      <w:szCs w:val="36"/>
                    </w:rPr>
                  </w:pPr>
                  <w:r w:rsidRPr="00DA5B97">
                    <w:rPr>
                      <w:szCs w:val="36"/>
                    </w:rPr>
                    <w:t>Service Level Agreement (SLA)</w:t>
                  </w:r>
                </w:p>
                <w:p w:rsidR="00DA5B97" w:rsidRDefault="00DA5B97">
                  <w:pPr>
                    <w:pStyle w:val="Heading3"/>
                    <w:outlineLvl w:val="2"/>
                    <w:rPr>
                      <w:b w:val="0"/>
                      <w:sz w:val="20"/>
                    </w:rPr>
                  </w:pPr>
                  <w:r w:rsidRPr="00DA5B97">
                    <w:rPr>
                      <w:b w:val="0"/>
                      <w:sz w:val="20"/>
                    </w:rPr>
                    <w:t>The</w:t>
                  </w:r>
                  <w:r>
                    <w:rPr>
                      <w:b w:val="0"/>
                      <w:sz w:val="20"/>
                    </w:rPr>
                    <w:t xml:space="preserve"> SLA</w:t>
                  </w:r>
                  <w:r w:rsidRPr="00DA5B97">
                    <w:rPr>
                      <w:b w:val="0"/>
                      <w:sz w:val="20"/>
                    </w:rPr>
                    <w:t xml:space="preserve"> </w:t>
                  </w:r>
                  <w:r>
                    <w:rPr>
                      <w:b w:val="0"/>
                      <w:sz w:val="20"/>
                    </w:rPr>
                    <w:t>‘top-slice’</w:t>
                  </w:r>
                  <w:r w:rsidRPr="00DA5B97">
                    <w:rPr>
                      <w:b w:val="0"/>
                      <w:sz w:val="20"/>
                    </w:rPr>
                    <w:t xml:space="preserve"> provides a service for T</w:t>
                  </w:r>
                  <w:r>
                    <w:rPr>
                      <w:b w:val="0"/>
                      <w:sz w:val="20"/>
                    </w:rPr>
                    <w:t xml:space="preserve">elford </w:t>
                  </w:r>
                  <w:r w:rsidRPr="00DA5B97">
                    <w:rPr>
                      <w:b w:val="0"/>
                      <w:sz w:val="20"/>
                    </w:rPr>
                    <w:t>&amp;</w:t>
                  </w:r>
                  <w:r>
                    <w:rPr>
                      <w:b w:val="0"/>
                      <w:sz w:val="20"/>
                    </w:rPr>
                    <w:t xml:space="preserve"> </w:t>
                  </w:r>
                  <w:r w:rsidRPr="00DA5B97">
                    <w:rPr>
                      <w:b w:val="0"/>
                      <w:sz w:val="20"/>
                    </w:rPr>
                    <w:t>W</w:t>
                  </w:r>
                  <w:r>
                    <w:rPr>
                      <w:b w:val="0"/>
                      <w:sz w:val="20"/>
                    </w:rPr>
                    <w:t xml:space="preserve">rekin schools and academies. As part of the SLA, </w:t>
                  </w:r>
                  <w:r w:rsidR="00573C1D" w:rsidRPr="00DA5B97">
                    <w:rPr>
                      <w:b w:val="0"/>
                      <w:sz w:val="20"/>
                    </w:rPr>
                    <w:t>Telford and Wrekin schools receive one free place every three years on the two-day DSL training, one free place per term for</w:t>
                  </w:r>
                  <w:r>
                    <w:rPr>
                      <w:b w:val="0"/>
                      <w:sz w:val="20"/>
                    </w:rPr>
                    <w:t xml:space="preserve"> the</w:t>
                  </w:r>
                  <w:r w:rsidR="00573C1D" w:rsidRPr="00DA5B97">
                    <w:rPr>
                      <w:b w:val="0"/>
                      <w:sz w:val="20"/>
                    </w:rPr>
                    <w:t xml:space="preserve"> DSL and</w:t>
                  </w:r>
                  <w:r>
                    <w:rPr>
                      <w:b w:val="0"/>
                      <w:sz w:val="20"/>
                    </w:rPr>
                    <w:t xml:space="preserve"> safeguarding</w:t>
                  </w:r>
                  <w:r w:rsidR="00573C1D" w:rsidRPr="00DA5B97">
                    <w:rPr>
                      <w:b w:val="0"/>
                      <w:sz w:val="20"/>
                    </w:rPr>
                    <w:t xml:space="preserve"> governor termly update, one free place per half term for raisi</w:t>
                  </w:r>
                  <w:r w:rsidR="00A0367D">
                    <w:rPr>
                      <w:b w:val="0"/>
                      <w:sz w:val="20"/>
                    </w:rPr>
                    <w:t>ng awareness training, hal</w:t>
                  </w:r>
                  <w:r w:rsidR="00CF3869">
                    <w:rPr>
                      <w:b w:val="0"/>
                      <w:sz w:val="20"/>
                    </w:rPr>
                    <w:t>f termly safeguarding e-bulletin</w:t>
                  </w:r>
                  <w:r w:rsidR="00A0367D">
                    <w:rPr>
                      <w:b w:val="0"/>
                      <w:sz w:val="20"/>
                    </w:rPr>
                    <w:t xml:space="preserve"> </w:t>
                  </w:r>
                  <w:r w:rsidR="00573C1D" w:rsidRPr="00DA5B97">
                    <w:rPr>
                      <w:b w:val="0"/>
                      <w:sz w:val="20"/>
                    </w:rPr>
                    <w:t xml:space="preserve">and an annual ‘whole-school’ bespoke training session. </w:t>
                  </w:r>
                </w:p>
                <w:p w:rsidR="00FB6ECB" w:rsidRPr="00DA5B97" w:rsidRDefault="00FB6ECB">
                  <w:pPr>
                    <w:spacing w:after="200" w:line="264" w:lineRule="auto"/>
                  </w:pPr>
                  <w:r w:rsidRPr="00DA5B97">
                    <w:t>We also provide the following as part of the SLA;</w:t>
                  </w:r>
                </w:p>
                <w:p w:rsidR="00FB6ECB" w:rsidRPr="00DA5B97" w:rsidRDefault="00FB6ECB" w:rsidP="00FB6ECB">
                  <w:pPr>
                    <w:pStyle w:val="ListParagraph"/>
                    <w:numPr>
                      <w:ilvl w:val="0"/>
                      <w:numId w:val="4"/>
                    </w:numPr>
                  </w:pPr>
                  <w:r w:rsidRPr="00DA5B97">
                    <w:t xml:space="preserve">annual update of the example child protection and safeguarding policy template and access to support workbooks, including record keeping, </w:t>
                  </w:r>
                  <w:r w:rsidR="00184373" w:rsidRPr="00DA5B97">
                    <w:t xml:space="preserve">section 11 audit, </w:t>
                  </w:r>
                  <w:r w:rsidRPr="00DA5B97">
                    <w:t xml:space="preserve">support for DSL’s and governors. </w:t>
                  </w:r>
                </w:p>
                <w:p w:rsidR="00DA5B97" w:rsidRPr="00DA5B97" w:rsidRDefault="00DA5B97" w:rsidP="00DA5B97">
                  <w:pPr>
                    <w:pStyle w:val="Heading3"/>
                    <w:outlineLvl w:val="2"/>
                    <w:rPr>
                      <w:b w:val="0"/>
                      <w:sz w:val="20"/>
                    </w:rPr>
                  </w:pPr>
                  <w:r>
                    <w:rPr>
                      <w:b w:val="0"/>
                      <w:sz w:val="20"/>
                    </w:rPr>
                    <w:t>A</w:t>
                  </w:r>
                  <w:r w:rsidRPr="00DA5B97">
                    <w:rPr>
                      <w:b w:val="0"/>
                      <w:sz w:val="20"/>
                    </w:rPr>
                    <w:t xml:space="preserve">ll other settings, including alternative provision, pupil referral units, </w:t>
                  </w:r>
                  <w:r w:rsidR="00E32B20">
                    <w:rPr>
                      <w:b w:val="0"/>
                      <w:sz w:val="20"/>
                    </w:rPr>
                    <w:t xml:space="preserve">independent schools, </w:t>
                  </w:r>
                  <w:r w:rsidRPr="00DA5B97">
                    <w:rPr>
                      <w:b w:val="0"/>
                      <w:sz w:val="20"/>
                    </w:rPr>
                    <w:t>post 16 provision, Arthog and the further education colleges, can receive the services identified at a flat rate of £650 per year,</w:t>
                  </w:r>
                  <w:r>
                    <w:rPr>
                      <w:b w:val="0"/>
                      <w:sz w:val="20"/>
                    </w:rPr>
                    <w:t xml:space="preserve"> an</w:t>
                  </w:r>
                  <w:r w:rsidRPr="00DA5B97">
                    <w:rPr>
                      <w:b w:val="0"/>
                      <w:sz w:val="20"/>
                    </w:rPr>
                    <w:t xml:space="preserve"> additional 20% apply to non Telford &amp; Wrekin schools. </w:t>
                  </w:r>
                </w:p>
                <w:p w:rsidR="007A051A" w:rsidRPr="00DA5B97" w:rsidRDefault="007A051A" w:rsidP="00B61E0B">
                  <w:pPr>
                    <w:spacing w:after="200" w:line="264" w:lineRule="auto"/>
                  </w:pPr>
                </w:p>
              </w:tc>
            </w:tr>
            <w:tr w:rsidR="007A051A" w:rsidRPr="00DA5B97" w:rsidTr="00402BA8">
              <w:trPr>
                <w:trHeight w:hRule="exact" w:val="79"/>
              </w:trPr>
              <w:tc>
                <w:tcPr>
                  <w:tcW w:w="5000" w:type="pct"/>
                </w:tcPr>
                <w:p w:rsidR="007A051A" w:rsidRPr="00DA5B97" w:rsidRDefault="007A051A"/>
              </w:tc>
            </w:tr>
            <w:tr w:rsidR="007A051A" w:rsidRPr="00DA5B97" w:rsidTr="00402BA8">
              <w:trPr>
                <w:trHeight w:hRule="exact" w:val="3149"/>
              </w:trPr>
              <w:tc>
                <w:tcPr>
                  <w:tcW w:w="5000" w:type="pct"/>
                  <w:shd w:val="clear" w:color="auto" w:fill="DF1010" w:themeFill="accent1" w:themeFillShade="BF"/>
                </w:tcPr>
                <w:p w:rsidR="007A051A" w:rsidRPr="00DA5B97" w:rsidRDefault="00D91B28">
                  <w:pPr>
                    <w:pStyle w:val="BlockHeading"/>
                    <w:rPr>
                      <w:sz w:val="20"/>
                    </w:rPr>
                  </w:pPr>
                  <w:r w:rsidRPr="00DA5B97">
                    <w:rPr>
                      <w:sz w:val="20"/>
                    </w:rPr>
                    <w:t>Contact Us</w:t>
                  </w:r>
                </w:p>
                <w:p w:rsidR="00402BA8" w:rsidRDefault="001C12AA" w:rsidP="00402BA8">
                  <w:pPr>
                    <w:pStyle w:val="BlockText2"/>
                    <w:rPr>
                      <w:sz w:val="20"/>
                    </w:rPr>
                  </w:pPr>
                  <w:sdt>
                    <w:sdtPr>
                      <w:rPr>
                        <w:sz w:val="20"/>
                      </w:rPr>
                      <w:alias w:val="Company"/>
                      <w:tag w:val=""/>
                      <w:id w:val="-1173869346"/>
                      <w:placeholder>
                        <w:docPart w:val="C80F2A6F810C4947AD1DCC5A09C41CEB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r w:rsidR="00FB6ECB" w:rsidRPr="00DA5B97">
                        <w:rPr>
                          <w:sz w:val="20"/>
                        </w:rPr>
                        <w:t xml:space="preserve">School </w:t>
                      </w:r>
                      <w:proofErr w:type="spellStart"/>
                      <w:r w:rsidR="00FB6ECB" w:rsidRPr="00DA5B97">
                        <w:rPr>
                          <w:sz w:val="20"/>
                        </w:rPr>
                        <w:t>Peformance</w:t>
                      </w:r>
                      <w:proofErr w:type="spellEnd"/>
                      <w:r w:rsidR="00FB6ECB" w:rsidRPr="00DA5B97">
                        <w:rPr>
                          <w:sz w:val="20"/>
                        </w:rPr>
                        <w:t xml:space="preserve"> &amp; Development, Education &amp; </w:t>
                      </w:r>
                      <w:proofErr w:type="spellStart"/>
                      <w:r w:rsidR="00FB6ECB" w:rsidRPr="00DA5B97">
                        <w:rPr>
                          <w:sz w:val="20"/>
                        </w:rPr>
                        <w:t>Coporate</w:t>
                      </w:r>
                      <w:proofErr w:type="spellEnd"/>
                      <w:r w:rsidR="00FB6ECB" w:rsidRPr="00DA5B97">
                        <w:rPr>
                          <w:sz w:val="20"/>
                        </w:rPr>
                        <w:t xml:space="preserve"> Parenting, Telford &amp; Wrekin Council</w:t>
                      </w:r>
                    </w:sdtContent>
                  </w:sdt>
                  <w:r w:rsidR="00D91B28" w:rsidRPr="00DA5B97">
                    <w:rPr>
                      <w:sz w:val="20"/>
                    </w:rPr>
                    <w:br/>
                  </w:r>
                  <w:r w:rsidR="00FB6ECB" w:rsidRPr="00DA5B97">
                    <w:rPr>
                      <w:sz w:val="20"/>
                    </w:rPr>
                    <w:t>6A Darby House, Lawn Central, Telford, TF3 4JA</w:t>
                  </w:r>
                </w:p>
                <w:p w:rsidR="007A051A" w:rsidRPr="00DA5B97" w:rsidRDefault="00FB6ECB" w:rsidP="00402BA8">
                  <w:pPr>
                    <w:pStyle w:val="BlockText2"/>
                    <w:rPr>
                      <w:sz w:val="20"/>
                    </w:rPr>
                  </w:pPr>
                  <w:r w:rsidRPr="00DA5B97">
                    <w:rPr>
                      <w:sz w:val="20"/>
                    </w:rPr>
                    <w:t>01952 38</w:t>
                  </w:r>
                  <w:r w:rsidR="00CF3869">
                    <w:rPr>
                      <w:sz w:val="20"/>
                    </w:rPr>
                    <w:t>0861</w:t>
                  </w:r>
                  <w:r w:rsidR="00D91B28" w:rsidRPr="00DA5B97">
                    <w:rPr>
                      <w:sz w:val="20"/>
                    </w:rPr>
                    <w:br/>
                  </w:r>
                  <w:r w:rsidRPr="00DA5B97">
                    <w:rPr>
                      <w:sz w:val="20"/>
                    </w:rPr>
                    <w:t>educationsafeguarding@telford.gov.uk</w:t>
                  </w:r>
                </w:p>
                <w:p w:rsidR="007A051A" w:rsidRDefault="00D91B28" w:rsidP="00FB6ECB">
                  <w:pPr>
                    <w:pStyle w:val="BlockText2"/>
                    <w:rPr>
                      <w:sz w:val="20"/>
                    </w:rPr>
                  </w:pPr>
                  <w:r w:rsidRPr="00DA5B97">
                    <w:rPr>
                      <w:sz w:val="20"/>
                    </w:rPr>
                    <w:t>Visit us on the Web:</w:t>
                  </w:r>
                  <w:r w:rsidRPr="00DA5B97">
                    <w:rPr>
                      <w:sz w:val="20"/>
                    </w:rPr>
                    <w:br/>
                  </w:r>
                  <w:r w:rsidR="00402BA8" w:rsidRPr="00402BA8">
                    <w:rPr>
                      <w:rStyle w:val="Hyperlink"/>
                      <w:color w:val="FFFFFF" w:themeColor="background1"/>
                      <w:sz w:val="20"/>
                    </w:rPr>
                    <w:t>http://www.twccommercial.co.uk/commercialservices/</w:t>
                  </w:r>
                </w:p>
                <w:p w:rsidR="00402BA8" w:rsidRDefault="00402BA8" w:rsidP="00FB6ECB">
                  <w:pPr>
                    <w:pStyle w:val="BlockText2"/>
                    <w:rPr>
                      <w:sz w:val="20"/>
                    </w:rPr>
                  </w:pPr>
                </w:p>
                <w:p w:rsidR="00402BA8" w:rsidRDefault="00402BA8" w:rsidP="00FB6ECB">
                  <w:pPr>
                    <w:pStyle w:val="BlockText2"/>
                    <w:rPr>
                      <w:sz w:val="20"/>
                    </w:rPr>
                  </w:pPr>
                </w:p>
                <w:p w:rsidR="00402BA8" w:rsidRPr="00DA5B97" w:rsidRDefault="00402BA8" w:rsidP="00FB6ECB">
                  <w:pPr>
                    <w:pStyle w:val="BlockText2"/>
                    <w:rPr>
                      <w:sz w:val="20"/>
                    </w:rPr>
                  </w:pPr>
                </w:p>
              </w:tc>
            </w:tr>
          </w:tbl>
          <w:p w:rsidR="007A051A" w:rsidRPr="00DA5B97" w:rsidRDefault="007A051A">
            <w:pPr>
              <w:spacing w:after="160" w:line="259" w:lineRule="auto"/>
            </w:pPr>
          </w:p>
        </w:tc>
      </w:tr>
    </w:tbl>
    <w:p w:rsidR="007A051A" w:rsidRDefault="007A051A">
      <w:pPr>
        <w:pStyle w:val="NoSpacing"/>
      </w:pPr>
    </w:p>
    <w:sectPr w:rsidR="007A051A">
      <w:pgSz w:w="15840" w:h="12240" w:orient="landscape"/>
      <w:pgMar w:top="720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7B0B67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2F2B5A"/>
    <w:multiLevelType w:val="hybridMultilevel"/>
    <w:tmpl w:val="A70C2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A222CB"/>
    <w:multiLevelType w:val="hybridMultilevel"/>
    <w:tmpl w:val="FF286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53320E"/>
    <w:multiLevelType w:val="hybridMultilevel"/>
    <w:tmpl w:val="1180CA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D43BD"/>
    <w:multiLevelType w:val="hybridMultilevel"/>
    <w:tmpl w:val="D0C25B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881"/>
    <w:rsid w:val="00082881"/>
    <w:rsid w:val="00184373"/>
    <w:rsid w:val="001C12AA"/>
    <w:rsid w:val="00233231"/>
    <w:rsid w:val="00402BA8"/>
    <w:rsid w:val="00492084"/>
    <w:rsid w:val="004E30B4"/>
    <w:rsid w:val="00573C1D"/>
    <w:rsid w:val="00721A2D"/>
    <w:rsid w:val="007808B0"/>
    <w:rsid w:val="007A051A"/>
    <w:rsid w:val="009F6394"/>
    <w:rsid w:val="00A0367D"/>
    <w:rsid w:val="00B61E0B"/>
    <w:rsid w:val="00BF06E9"/>
    <w:rsid w:val="00CF3869"/>
    <w:rsid w:val="00D91B28"/>
    <w:rsid w:val="00DA5B97"/>
    <w:rsid w:val="00DD7CC5"/>
    <w:rsid w:val="00E32B20"/>
    <w:rsid w:val="00EB1E62"/>
    <w:rsid w:val="00F271FE"/>
    <w:rsid w:val="00FB5844"/>
    <w:rsid w:val="00FB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CEC921-808A-4F51-A636-93FE03980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C483D" w:themeColor="text2"/>
        <w:kern w:val="2"/>
        <w:lang w:val="en-US" w:eastAsia="ja-JP" w:bidi="ar-SA"/>
        <w14:ligatures w14:val="standard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1FE"/>
    <w:rPr>
      <w:lang w:val="en-GB"/>
    </w:rPr>
  </w:style>
  <w:style w:type="paragraph" w:styleId="Heading1">
    <w:name w:val="heading 1"/>
    <w:basedOn w:val="Normal"/>
    <w:next w:val="Normal"/>
    <w:link w:val="Heading1Char"/>
    <w:uiPriority w:val="2"/>
    <w:qFormat/>
    <w:pPr>
      <w:keepNext/>
      <w:keepLines/>
      <w:spacing w:before="240" w:after="180" w:line="216" w:lineRule="auto"/>
      <w:outlineLvl w:val="0"/>
    </w:pPr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Heading2">
    <w:name w:val="heading 2"/>
    <w:basedOn w:val="Normal"/>
    <w:next w:val="Normal"/>
    <w:link w:val="Heading2Char"/>
    <w:uiPriority w:val="2"/>
    <w:unhideWhenUsed/>
    <w:qFormat/>
    <w:pPr>
      <w:keepNext/>
      <w:keepLines/>
      <w:pBdr>
        <w:bottom w:val="single" w:sz="4" w:space="4" w:color="F24F4F" w:themeColor="accent1"/>
      </w:pBdr>
      <w:spacing w:before="480" w:after="160" w:line="216" w:lineRule="auto"/>
      <w:outlineLvl w:val="1"/>
    </w:pPr>
    <w:rPr>
      <w:rFonts w:asciiTheme="majorHAnsi" w:eastAsiaTheme="majorEastAsia" w:hAnsiTheme="majorHAnsi" w:cstheme="majorBidi"/>
      <w:color w:val="F24F4F" w:themeColor="accent1"/>
      <w:sz w:val="36"/>
    </w:rPr>
  </w:style>
  <w:style w:type="paragraph" w:styleId="Heading3">
    <w:name w:val="heading 3"/>
    <w:basedOn w:val="Normal"/>
    <w:next w:val="Normal"/>
    <w:link w:val="Heading3Char"/>
    <w:uiPriority w:val="2"/>
    <w:unhideWhenUsed/>
    <w:qFormat/>
    <w:pPr>
      <w:keepNext/>
      <w:keepLines/>
      <w:spacing w:before="360" w:after="180" w:line="240" w:lineRule="auto"/>
      <w:outlineLvl w:val="2"/>
    </w:pPr>
    <w:rPr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styleId="NoSpacing">
    <w:name w:val="No Spacing"/>
    <w:uiPriority w:val="5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3"/>
    <w:qFormat/>
    <w:pPr>
      <w:spacing w:after="120" w:line="211" w:lineRule="auto"/>
      <w:contextualSpacing/>
    </w:pPr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F24F4F" w:themeColor="accent1"/>
      <w:kern w:val="28"/>
      <w:sz w:val="72"/>
    </w:rPr>
  </w:style>
  <w:style w:type="paragraph" w:styleId="Subtitle">
    <w:name w:val="Subtitle"/>
    <w:basedOn w:val="Normal"/>
    <w:next w:val="Normal"/>
    <w:link w:val="SubtitleChar"/>
    <w:uiPriority w:val="4"/>
    <w:qFormat/>
    <w:pPr>
      <w:numPr>
        <w:ilvl w:val="1"/>
      </w:numPr>
      <w:spacing w:before="180" w:after="0" w:line="288" w:lineRule="auto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4"/>
    <w:rPr>
      <w:sz w:val="28"/>
    </w:rPr>
  </w:style>
  <w:style w:type="paragraph" w:customStyle="1" w:styleId="Organization">
    <w:name w:val="Organization"/>
    <w:basedOn w:val="Normal"/>
    <w:next w:val="Normal"/>
    <w:uiPriority w:val="5"/>
    <w:qFormat/>
    <w:rsid w:val="00F271FE"/>
    <w:pPr>
      <w:pBdr>
        <w:bottom w:val="single" w:sz="4" w:space="3" w:color="F24F4F" w:themeColor="accent1"/>
      </w:pBdr>
      <w:spacing w:after="60"/>
    </w:pPr>
    <w:rPr>
      <w:rFonts w:asciiTheme="majorHAnsi" w:eastAsiaTheme="majorEastAsia" w:hAnsiTheme="majorHAnsi" w:cstheme="majorBidi"/>
      <w:color w:val="DF1010" w:themeColor="accent1" w:themeShade="BF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2"/>
    <w:qFormat/>
    <w:pPr>
      <w:spacing w:before="1100" w:after="0" w:line="240" w:lineRule="auto"/>
      <w:ind w:left="1800"/>
      <w:contextualSpacing/>
    </w:pPr>
  </w:style>
  <w:style w:type="character" w:customStyle="1" w:styleId="Heading1Char">
    <w:name w:val="Heading 1 Char"/>
    <w:basedOn w:val="DefaultParagraphFont"/>
    <w:link w:val="Heading1"/>
    <w:uiPriority w:val="2"/>
    <w:rPr>
      <w:rFonts w:asciiTheme="majorHAnsi" w:eastAsiaTheme="majorEastAsia" w:hAnsiTheme="majorHAnsi" w:cstheme="majorBidi"/>
      <w:color w:val="F24F4F" w:themeColor="accent1"/>
      <w:sz w:val="56"/>
    </w:rPr>
  </w:style>
  <w:style w:type="paragraph" w:styleId="BlockText">
    <w:name w:val="Block Text"/>
    <w:basedOn w:val="Normal"/>
    <w:uiPriority w:val="2"/>
    <w:unhideWhenUsed/>
    <w:qFormat/>
    <w:pPr>
      <w:spacing w:before="260" w:after="260" w:line="288" w:lineRule="auto"/>
      <w:ind w:left="288" w:right="288"/>
    </w:pPr>
    <w:rPr>
      <w:color w:val="FFFFFF" w:themeColor="background1"/>
      <w:sz w:val="28"/>
    </w:rPr>
  </w:style>
  <w:style w:type="character" w:customStyle="1" w:styleId="Heading2Char">
    <w:name w:val="Heading 2 Char"/>
    <w:basedOn w:val="DefaultParagraphFont"/>
    <w:link w:val="Heading2"/>
    <w:uiPriority w:val="2"/>
    <w:rPr>
      <w:rFonts w:asciiTheme="majorHAnsi" w:eastAsiaTheme="majorEastAsia" w:hAnsiTheme="majorHAnsi" w:cstheme="majorBidi"/>
      <w:color w:val="F24F4F" w:themeColor="accent1"/>
      <w:sz w:val="36"/>
    </w:rPr>
  </w:style>
  <w:style w:type="character" w:customStyle="1" w:styleId="Heading3Char">
    <w:name w:val="Heading 3 Char"/>
    <w:basedOn w:val="DefaultParagraphFont"/>
    <w:link w:val="Heading3"/>
    <w:uiPriority w:val="2"/>
    <w:rPr>
      <w:b/>
      <w:bCs/>
      <w:sz w:val="26"/>
    </w:rPr>
  </w:style>
  <w:style w:type="paragraph" w:styleId="Quote">
    <w:name w:val="Quote"/>
    <w:basedOn w:val="Normal"/>
    <w:next w:val="Normal"/>
    <w:link w:val="QuoteChar"/>
    <w:uiPriority w:val="2"/>
    <w:unhideWhenUsed/>
    <w:qFormat/>
    <w:rsid w:val="00F271FE"/>
    <w:pPr>
      <w:spacing w:before="200" w:after="160" w:line="288" w:lineRule="auto"/>
    </w:pPr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character" w:customStyle="1" w:styleId="QuoteChar">
    <w:name w:val="Quote Char"/>
    <w:basedOn w:val="DefaultParagraphFont"/>
    <w:link w:val="Quote"/>
    <w:uiPriority w:val="2"/>
    <w:rsid w:val="00F271FE"/>
    <w:rPr>
      <w:rFonts w:asciiTheme="majorHAnsi" w:eastAsiaTheme="majorEastAsia" w:hAnsiTheme="majorHAnsi" w:cstheme="majorBidi"/>
      <w:i/>
      <w:iCs/>
      <w:color w:val="DF1010" w:themeColor="accent1" w:themeShade="BF"/>
    </w:rPr>
  </w:style>
  <w:style w:type="paragraph" w:customStyle="1" w:styleId="BlockHeading">
    <w:name w:val="Block Heading"/>
    <w:basedOn w:val="Normal"/>
    <w:uiPriority w:val="2"/>
    <w:qFormat/>
    <w:pPr>
      <w:spacing w:before="160" w:after="180" w:line="240" w:lineRule="auto"/>
      <w:ind w:left="288" w:right="288"/>
    </w:pPr>
    <w:rPr>
      <w:rFonts w:asciiTheme="majorHAnsi" w:eastAsiaTheme="majorEastAsia" w:hAnsiTheme="majorHAnsi" w:cstheme="majorBidi"/>
      <w:color w:val="FFFFFF" w:themeColor="background1"/>
      <w:sz w:val="36"/>
    </w:rPr>
  </w:style>
  <w:style w:type="paragraph" w:customStyle="1" w:styleId="BlockText2">
    <w:name w:val="Block Text 2"/>
    <w:basedOn w:val="Normal"/>
    <w:uiPriority w:val="2"/>
    <w:qFormat/>
    <w:pPr>
      <w:spacing w:after="160" w:line="240" w:lineRule="auto"/>
      <w:ind w:left="288" w:right="288"/>
    </w:pPr>
    <w:rPr>
      <w:color w:val="FFFFFF" w:themeColor="background1"/>
      <w:sz w:val="22"/>
    </w:rPr>
  </w:style>
  <w:style w:type="paragraph" w:styleId="ListBullet">
    <w:name w:val="List Bullet"/>
    <w:basedOn w:val="Normal"/>
    <w:uiPriority w:val="2"/>
    <w:unhideWhenUsed/>
    <w:qFormat/>
    <w:pPr>
      <w:numPr>
        <w:numId w:val="1"/>
      </w:numPr>
      <w:spacing w:after="120"/>
    </w:pPr>
  </w:style>
  <w:style w:type="character" w:styleId="Hyperlink">
    <w:name w:val="Hyperlink"/>
    <w:basedOn w:val="DefaultParagraphFont"/>
    <w:uiPriority w:val="99"/>
    <w:unhideWhenUsed/>
    <w:rsid w:val="00082881"/>
    <w:rPr>
      <w:color w:val="4C483D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EB1E62"/>
    <w:pPr>
      <w:ind w:left="720"/>
      <w:contextualSpacing/>
    </w:pPr>
  </w:style>
  <w:style w:type="paragraph" w:customStyle="1" w:styleId="Default">
    <w:name w:val="Default"/>
    <w:rsid w:val="00573C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3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3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btw.gov.uk\shared\rds12-profiles\scott.thomaswhite\AppData\Roaming\Microsoft\Templates\Company%20Brochur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80F2A6F810C4947AD1DCC5A09C41C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F7A7-A9A3-428D-A3A1-359CA5BB02E6}"/>
      </w:docPartPr>
      <w:docPartBody>
        <w:p w:rsidR="00045382" w:rsidRDefault="00045382">
          <w:pPr>
            <w:pStyle w:val="C80F2A6F810C4947AD1DCC5A09C41CEB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382"/>
    <w:rsid w:val="0004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D14470F280147D3B26FA83F98211867">
    <w:name w:val="DD14470F280147D3B26FA83F98211867"/>
  </w:style>
  <w:style w:type="paragraph" w:customStyle="1" w:styleId="F343BD01AB6349DC88A1E86EE3994119">
    <w:name w:val="F343BD01AB6349DC88A1E86EE3994119"/>
  </w:style>
  <w:style w:type="paragraph" w:customStyle="1" w:styleId="C80F2A6F810C4947AD1DCC5A09C41CEB">
    <w:name w:val="C80F2A6F810C4947AD1DCC5A09C41CEB"/>
  </w:style>
  <w:style w:type="paragraph" w:customStyle="1" w:styleId="BCF03A63A66E441BB623145D11F87820">
    <w:name w:val="BCF03A63A66E441BB623145D11F87820"/>
  </w:style>
  <w:style w:type="paragraph" w:customStyle="1" w:styleId="C6BD73D1508F41B4B4934D4A4DED7A61">
    <w:name w:val="C6BD73D1508F41B4B4934D4A4DED7A61"/>
  </w:style>
  <w:style w:type="paragraph" w:customStyle="1" w:styleId="5ACD794979B746718092169B08617E25">
    <w:name w:val="5ACD794979B746718092169B08617E25"/>
  </w:style>
  <w:style w:type="paragraph" w:customStyle="1" w:styleId="4BBBE0A025A84A6EA909B25887BF4708">
    <w:name w:val="4BBBE0A025A84A6EA909B25887BF4708"/>
  </w:style>
  <w:style w:type="paragraph" w:customStyle="1" w:styleId="6F2227371EA0411CB92C1A7A6E2FE002">
    <w:name w:val="6F2227371EA0411CB92C1A7A6E2FE002"/>
  </w:style>
  <w:style w:type="paragraph" w:customStyle="1" w:styleId="E81B41D304684B02B903A6DE7ED70CD0">
    <w:name w:val="E81B41D304684B02B903A6DE7ED70CD0"/>
  </w:style>
  <w:style w:type="paragraph" w:customStyle="1" w:styleId="80ED2251E32944E9BD839A71C8C3E45A">
    <w:name w:val="80ED2251E32944E9BD839A71C8C3E45A"/>
  </w:style>
  <w:style w:type="paragraph" w:customStyle="1" w:styleId="358DDC88F85545068743DEA6D7436CC6">
    <w:name w:val="358DDC88F85545068743DEA6D7436C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846397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2012-06-29T21:48:00+00:00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1591641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TP102933471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579E6-1417-4B77-9575-936510E87B64}">
  <ds:schemaRefs>
    <ds:schemaRef ds:uri="http://purl.org/dc/elements/1.1/"/>
    <ds:schemaRef ds:uri="4873beb7-5857-4685-be1f-d57550cc96cc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37CD04-C285-4EC8-803D-259CDCD27E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AB41C54-6DA1-4EF0-8D7D-A28A703F60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Company Brochure</Template>
  <TotalTime>165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Peformance &amp; Development, Education &amp; Coporate Parenting, Telford &amp; Wrekin Council</Company>
  <LinksUpToDate>false</LinksUpToDate>
  <CharactersWithSpaces>4649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Thomas-White, Scott</dc:creator>
  <cp:lastModifiedBy>Thomas-White, Scott</cp:lastModifiedBy>
  <cp:revision>8</cp:revision>
  <cp:lastPrinted>2019-05-01T14:38:00Z</cp:lastPrinted>
  <dcterms:created xsi:type="dcterms:W3CDTF">2018-12-18T15:20:00Z</dcterms:created>
  <dcterms:modified xsi:type="dcterms:W3CDTF">2019-06-26T11:26:00Z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